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宋体" w:hAnsi="宋体"/>
          <w:b/>
          <w:color w:val="auto"/>
          <w:kern w:val="0"/>
          <w:sz w:val="44"/>
          <w:szCs w:val="44"/>
        </w:rPr>
      </w:pPr>
      <w:bookmarkStart w:id="1" w:name="_GoBack"/>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托克逊县人民医院2024年单位预算公开</w:t>
      </w: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line="500" w:lineRule="exact"/>
        <w:jc w:val="center"/>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hint="eastAsia" w:ascii="宋体" w:hAnsi="宋体"/>
          <w:b/>
          <w:color w:val="auto"/>
          <w:kern w:val="0"/>
          <w:sz w:val="44"/>
          <w:szCs w:val="44"/>
        </w:rPr>
      </w:pP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一、关于托克逊县人民医院单位2024年收支预算情况的总体说明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二、关于托克逊县人民医院单位2024年收入预算情况说明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三、关于托克逊县人民医院单位2024年支出预算情况说明</w:t>
      </w:r>
    </w:p>
    <w:p>
      <w:pPr>
        <w:widowControl/>
        <w:spacing w:line="600" w:lineRule="exact"/>
        <w:ind w:firstLine="640" w:firstLineChars="200"/>
        <w:outlineLvl w:val="1"/>
        <w:rPr>
          <w:rFonts w:hint="eastAsia"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四、关于托克逊县人民医院单位2024年财政拨款收支预算情况的总体说明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五、关于托克逊县人民医院单位2024年一般公共预算当年拨款情况说明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六、关于托克逊县人民医院单位2024年一般公共预算基本支出情况说明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七、关于托克逊县人民医院单位2024年一般公共预算项目支出情况说明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八、关于托克逊县人民医院单位2024年政府性基金预算拨款情况说明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九、关于托克逊县人民医院单位2024年国有资本经营预算拨款情况说明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十、关于托克逊县人民医院单位2024年财政拨款“三公”经费预算情况说明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十一、关于托克逊县人民医院单位2024年上年结转结余预算情况说明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hint="eastAsia"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hint="eastAsia" w:ascii="宋体" w:hAnsi="宋体"/>
          <w:b/>
          <w:color w:val="auto"/>
          <w:kern w:val="0"/>
          <w:sz w:val="32"/>
          <w:szCs w:val="32"/>
        </w:rPr>
      </w:pP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hint="eastAsia"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贯彻执行医疗卫生法律、法规和相关政策文件，为人民身体健康做好医疗与护理保健服务，制定本院医疗工作总规划和总计划，并组织实施。坚持以患者为中心，以医疗质量为核心，以提高医疗服务质量为重点，不断加强医院管理和设施建设，不断夯实高质量发展内涵，努力提高医疗质量和服务水平，助推医院发展再上新台阶。</w:t>
      </w: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人民医院单位无下属预算单位，下设32个处室，分别是：心脑血管疾病科一区、心脑血管疾病科二区、综合内科、外一科、外二科、妇产科、儿科、五官科、皮肤科、传染性疾病科、康复医学科、急诊科、门诊部、口腔科、血液净化科、重症医学科、医学影像诊断中心、B超心电诊断中心、医学检验中心、病理科、药剂科、手麻科、供应室、院部、党政办、医务部、护理部、院感办、财务科、总务科、信息设备科、医保办</w:t>
      </w:r>
      <w:r>
        <w:rPr>
          <w:rFonts w:hint="eastAsia" w:ascii="仿宋_GB2312" w:hAnsi="宋体" w:eastAsia="仿宋_GB2312" w:cs="宋体"/>
          <w:color w:val="auto"/>
          <w:kern w:val="0"/>
          <w:sz w:val="32"/>
          <w:szCs w:val="32"/>
        </w:rPr>
        <w:t>。</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托克逊县人民医院单位编制数256，实有人数270人，其中：在职169人，减少16人；退休101人，增加9人；离休0人，增加0人。</w:t>
      </w:r>
    </w:p>
    <w:p>
      <w:pPr>
        <w:widowControl/>
        <w:spacing w:before="156" w:beforeLines="50"/>
        <w:jc w:val="center"/>
        <w:outlineLvl w:val="1"/>
        <w:rPr>
          <w:rFonts w:hint="eastAsia"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hint="eastAsia"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13406.23</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2406.23</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2318.64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87.59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428.69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12792.64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11000.00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11000.00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184.90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13406.23</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13406.23</w:t>
            </w:r>
          </w:p>
        </w:tc>
      </w:tr>
    </w:tbl>
    <w:p>
      <w:pPr>
        <w:widowControl/>
        <w:jc w:val="left"/>
        <w:outlineLvl w:val="1"/>
        <w:rPr>
          <w:rFonts w:hint="eastAsia"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3889"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428.69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428.69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428.69</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428.69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428.69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428.69</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77.89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77.89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77.89</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233.87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233.87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233.87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06</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机关事业单位职业年金缴费支出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116.93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116.93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116.93</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12792.64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1792.64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1705.05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87.59</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11000.00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公立医院</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12648.45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1648.45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1580.95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67.50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11000.00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综合医院</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12580.95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1580.95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1580.95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11000.00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其他公立医院支出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67.50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67.50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67.50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45.09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45.09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25.00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20.09</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20.09</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25.00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25.00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25.00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99.10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99.10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99.10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99.10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99.10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99.10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184.90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184.90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184.90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184.90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184.90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184.90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184.90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184.90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184.90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13406.23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2406.23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2318.64</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87.59</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11000.00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bl>
    <w:p>
      <w:pPr>
        <w:widowControl/>
        <w:jc w:val="left"/>
        <w:outlineLvl w:val="1"/>
        <w:rPr>
          <w:rFonts w:hint="eastAsia"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399"/>
        <w:gridCol w:w="1770"/>
        <w:gridCol w:w="1762"/>
        <w:gridCol w:w="179"/>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eastAsia="仿宋_GB2312"/>
                <w:color w:val="auto"/>
                <w:sz w:val="24"/>
              </w:rPr>
              <w:t>编制单位：托克逊县人民医院</w:t>
            </w:r>
          </w:p>
        </w:tc>
        <w:tc>
          <w:tcPr>
            <w:tcW w:w="130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428.69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428.69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428.69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428.69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77.89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77.89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233.87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233.87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06</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机关事业单位职业年金缴费支出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116.93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116.93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12792.64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1680.05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11112.59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公立医院</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12648.45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1580.95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11067.50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综合医院</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12580.95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1580.95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11000.00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其他公立医院支出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67.50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67.50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45.09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45.09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20.09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20.09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25.00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25.00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99.10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99.10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99.10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99.10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184.90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184.90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184.90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184.90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184.90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184.90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13406.23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2293.64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11112.59</w:t>
            </w:r>
          </w:p>
        </w:tc>
      </w:tr>
    </w:tbl>
    <w:p>
      <w:pPr>
        <w:widowControl/>
        <w:spacing w:before="120" w:beforeLines="50"/>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1808" w:type="dxa"/>
            <w:gridSpan w:val="3"/>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2406.23</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2406.23</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428.69</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428.69</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1792.64</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1792.64</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184.90</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184.90</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2406.23</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2406.23</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2406.23</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1307"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428.69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428.69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428.69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428.69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77.89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77.89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06</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机关事业单位职业年金缴费支出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116.93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116.93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1792.64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1680.05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112.59</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公立医院</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1648.45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1580.95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67.50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综合医院</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1580.95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1580.95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其他公立医院支出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67.50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67.50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45.09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45.09</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重大公共卫生服务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20.09</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25.00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25.00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99.10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99.10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99.10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99.10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184.90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184.90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184.90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184.90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184.90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184.90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2406.23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2293.64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112.59</w:t>
            </w: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2195.09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2195.09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1453.89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1453.89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8.66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8.66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233.87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233.87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职业年金缴费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116.93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116.93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99.10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99.10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10.24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10.24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184.90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184.90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87.50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87.50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2.31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2.31</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2.31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2.31</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96.24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96.24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77.89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77.89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18.35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18.35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2293.64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2291.33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2.31</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272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112.59</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112.59</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02</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公立医院</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67.50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67.50</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其他公立医院支出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吐市财社[2023]76号2024年中央医疗服务与保障能力提升（公立医院综合改革）补助资金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67.50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67.50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04</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公共卫生</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45.09</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45.09</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*001</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15.09</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15.09</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pPr>
              <w:jc w:val="left"/>
              <w:rPr>
                <w:rFonts w:hint="eastAsia" w:ascii="仿宋_GB2312" w:hAnsi="宋体" w:eastAsia="仿宋_GB2312" w:cs="宋体"/>
                <w:color w:val="auto"/>
                <w:sz w:val="18"/>
                <w:szCs w:val="18"/>
                <w:lang w:eastAsia="zh-CN"/>
              </w:rPr>
            </w:pPr>
            <w:r>
              <w:rPr>
                <w:rFonts w:hint="eastAsia" w:ascii="仿宋_GB2312" w:hAnsi="宋体" w:eastAsia="仿宋_GB2312" w:cs="宋体"/>
                <w:color w:val="auto"/>
                <w:kern w:val="0"/>
                <w:sz w:val="18"/>
                <w:szCs w:val="18"/>
              </w:rPr>
              <w:t>*00</w:t>
            </w:r>
            <w:r>
              <w:rPr>
                <w:rFonts w:hint="eastAsia" w:ascii="仿宋_GB2312" w:hAnsi="宋体" w:eastAsia="仿宋_GB2312" w:cs="宋体"/>
                <w:color w:val="auto"/>
                <w:kern w:val="0"/>
                <w:sz w:val="18"/>
                <w:szCs w:val="18"/>
                <w:lang w:val="en-US" w:eastAsia="zh-CN"/>
              </w:rPr>
              <w:t>2</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其他公共卫生支出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2024年全民健康体检县级补助资金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25.00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25.00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p>
        </w:tc>
        <w:tc>
          <w:tcPr>
            <w:tcW w:w="2170"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112.59</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112.59</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备注：托克逊县人民医院2024年没有使用政府性基金预算拨款安排的支出，政府性基金预算支出情况表为空表。</w:t>
      </w: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备注：托克逊县人民医院2024年没有使用国有资本经营预算拨款安排的支出，国有资本经营预算支出情况表为空表。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1312"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备注：托克逊县人民医院2024年未安排三公经费预算，三公经费支出情况表为空表。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编制单位：托克逊县人民医院</w:t>
            </w:r>
          </w:p>
        </w:tc>
        <w:tc>
          <w:tcPr>
            <w:tcW w:w="2000" w:type="dxa"/>
            <w:gridSpan w:val="2"/>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13"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p>
        </w:tc>
        <w:tc>
          <w:tcPr>
            <w:tcW w:w="850" w:type="dxa"/>
            <w:vAlign w:val="center"/>
          </w:tcPr>
          <w:p>
            <w:pPr>
              <w:spacing w:line="600" w:lineRule="exact"/>
              <w:jc w:val="center"/>
              <w:rPr>
                <w:rFonts w:hint="eastAsia" w:ascii="仿宋" w:hAnsi="仿宋" w:eastAsia="仿宋" w:cs="仿宋_GB2312"/>
                <w:bCs/>
                <w:color w:val="auto"/>
                <w:kern w:val="0"/>
                <w:sz w:val="18"/>
                <w:szCs w:val="18"/>
              </w:rPr>
            </w:pPr>
          </w:p>
        </w:tc>
        <w:tc>
          <w:tcPr>
            <w:tcW w:w="1054" w:type="dxa"/>
            <w:vAlign w:val="center"/>
          </w:tcPr>
          <w:p>
            <w:pPr>
              <w:spacing w:line="600" w:lineRule="exact"/>
              <w:jc w:val="center"/>
              <w:rPr>
                <w:rFonts w:hint="eastAsia" w:ascii="仿宋" w:hAnsi="仿宋" w:eastAsia="仿宋" w:cs="仿宋_GB2312"/>
                <w:bCs/>
                <w:color w:val="auto"/>
                <w:kern w:val="0"/>
                <w:sz w:val="18"/>
                <w:szCs w:val="18"/>
              </w:rPr>
            </w:pP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p>
        </w:tc>
        <w:tc>
          <w:tcPr>
            <w:tcW w:w="850" w:type="dxa"/>
            <w:vAlign w:val="center"/>
          </w:tcPr>
          <w:p>
            <w:pPr>
              <w:spacing w:line="600" w:lineRule="exact"/>
              <w:jc w:val="center"/>
              <w:rPr>
                <w:rFonts w:hint="eastAsia" w:ascii="仿宋" w:hAnsi="仿宋" w:eastAsia="仿宋" w:cs="仿宋_GB2312"/>
                <w:bCs/>
                <w:color w:val="auto"/>
                <w:kern w:val="0"/>
                <w:sz w:val="18"/>
                <w:szCs w:val="18"/>
              </w:rPr>
            </w:pPr>
          </w:p>
        </w:tc>
        <w:tc>
          <w:tcPr>
            <w:tcW w:w="1054" w:type="dxa"/>
            <w:vAlign w:val="center"/>
          </w:tcPr>
          <w:p>
            <w:pPr>
              <w:spacing w:line="600" w:lineRule="exact"/>
              <w:jc w:val="center"/>
              <w:rPr>
                <w:rFonts w:hint="eastAsia" w:ascii="仿宋" w:hAnsi="仿宋" w:eastAsia="仿宋" w:cs="仿宋_GB2312"/>
                <w:bCs/>
                <w:color w:val="auto"/>
                <w:kern w:val="0"/>
                <w:sz w:val="18"/>
                <w:szCs w:val="18"/>
              </w:rPr>
            </w:pP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p>
        </w:tc>
        <w:tc>
          <w:tcPr>
            <w:tcW w:w="850" w:type="dxa"/>
            <w:vAlign w:val="center"/>
          </w:tcPr>
          <w:p>
            <w:pPr>
              <w:spacing w:line="600" w:lineRule="exact"/>
              <w:jc w:val="center"/>
              <w:rPr>
                <w:rFonts w:hint="eastAsia" w:ascii="仿宋" w:hAnsi="仿宋" w:eastAsia="仿宋" w:cs="仿宋_GB2312"/>
                <w:bCs/>
                <w:color w:val="auto"/>
                <w:kern w:val="0"/>
                <w:sz w:val="18"/>
                <w:szCs w:val="18"/>
              </w:rPr>
            </w:pPr>
          </w:p>
        </w:tc>
        <w:tc>
          <w:tcPr>
            <w:tcW w:w="1054" w:type="dxa"/>
            <w:vAlign w:val="center"/>
          </w:tcPr>
          <w:p>
            <w:pPr>
              <w:spacing w:line="600" w:lineRule="exact"/>
              <w:jc w:val="center"/>
              <w:rPr>
                <w:rFonts w:hint="eastAsia" w:ascii="仿宋" w:hAnsi="仿宋" w:eastAsia="仿宋" w:cs="仿宋_GB2312"/>
                <w:bCs/>
                <w:color w:val="auto"/>
                <w:kern w:val="0"/>
                <w:sz w:val="18"/>
                <w:szCs w:val="18"/>
              </w:rPr>
            </w:pP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备注：托克逊县人民医院2024年无上年结转结余预算的支出，结转结余预算支出情况表为空表。</w:t>
      </w:r>
    </w:p>
    <w:p>
      <w:pPr>
        <w:widowControl/>
        <w:jc w:val="left"/>
        <w:outlineLvl w:val="1"/>
        <w:rPr>
          <w:rFonts w:hint="eastAsia"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hint="eastAsia"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hint="eastAsia" w:ascii="楷体_GB2312" w:hAnsi="楷体_GB2312" w:eastAsia="楷体_GB2312"/>
          <w:color w:val="auto"/>
          <w:kern w:val="0"/>
          <w:sz w:val="32"/>
          <w:szCs w:val="32"/>
        </w:rPr>
      </w:pP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关于托克逊县人民医院单位2024年收支预算情况的总体说明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按照全口径预算的原则，托克逊县人民医院单位2024年所有收入和支出均纳入单位预算管理。收支总预算13406.23万元。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二、关于托克逊县人民医院单位2024年收入预算情况说明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托克逊县人民医院单位收入预算13406.23万元，其中：</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一般公共预算2318.64万元，占17.30%，比上年预算减少428.52万元，下降15.60%，主要原因是今年的在职人员减少，其中退休9人，离职2人，调出3人，死亡2人，</w:t>
      </w:r>
      <w:r>
        <w:rPr>
          <w:rFonts w:hint="eastAsia" w:ascii="仿宋_GB2312" w:hAnsi="宋体" w:eastAsia="仿宋_GB2312" w:cs="宋体"/>
          <w:color w:val="auto"/>
          <w:kern w:val="0"/>
          <w:sz w:val="32"/>
          <w:szCs w:val="32"/>
          <w:lang w:val="en-US" w:eastAsia="zh-CN"/>
        </w:rPr>
        <w:t>人员经费及公用经费减少</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导致预算比上年减少</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87.59万元，占0.65%，比上年预算增加87.59万元，增长100.00%，主要原因是上年度未安排财政转移支付，2024年新增加了公立医院改革资金，重大传染病补助资金，导致今年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单位资金11000.00万元，占82.05%，比上年预算减少7511.20万元，下降40.58%，主要原因是我单位上年事业收入没有达到预期值，因此上年做预算时估超了，导致事业收入比率下降</w:t>
      </w:r>
      <w:r>
        <w:rPr>
          <w:rFonts w:hint="eastAsia" w:ascii="仿宋_GB2312" w:hAnsi="宋体" w:eastAsia="仿宋_GB2312" w:cs="宋体"/>
          <w:color w:val="auto"/>
          <w:kern w:val="0"/>
          <w:sz w:val="32"/>
          <w:szCs w:val="32"/>
          <w:lang w:eastAsia="zh-CN"/>
        </w:rPr>
        <w:t>。</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三、关于托克逊县人民医院单位2024年支出预算情况说明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托克逊县人民医院单位2024年支出预算13406.23万元，其中：</w:t>
      </w:r>
    </w:p>
    <w:p>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基本支出2293.64万元，占17.11%，比上年预算减少453.52万元，下降16.51%，主要原因是2024年在职人员减少，其中退休9人，离职2人，调出3人，死亡2人，</w:t>
      </w:r>
      <w:r>
        <w:rPr>
          <w:rFonts w:hint="eastAsia" w:ascii="仿宋_GB2312" w:hAnsi="宋体" w:eastAsia="仿宋_GB2312" w:cs="宋体"/>
          <w:color w:val="auto"/>
          <w:kern w:val="0"/>
          <w:sz w:val="32"/>
          <w:szCs w:val="32"/>
          <w:lang w:val="en-US" w:eastAsia="zh-CN"/>
        </w:rPr>
        <w:t>人员经费及公用经费减少</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导致预算比上年减少。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项目支出11112.59万元，占82.89%，比上年预算减少7398.61万元，下降39.97%，主要原因是我单位上年事业收入没有达到预期值，因此上年做预算时估超了，导致支出比率下降。</w:t>
      </w:r>
    </w:p>
    <w:p>
      <w:pPr>
        <w:spacing w:line="560" w:lineRule="exact"/>
        <w:ind w:firstLine="643" w:firstLineChars="200"/>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四、关于托克逊县人民医院单位2024年财政拨款收支预算情况的总体说明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2024年财政拨款收支总预算2406.23万元。</w:t>
      </w:r>
    </w:p>
    <w:p>
      <w:pPr>
        <w:spacing w:line="560" w:lineRule="exact"/>
        <w:ind w:firstLine="616" w:firstLineChars="200"/>
        <w:rPr>
          <w:rFonts w:hint="eastAsia"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收入预算包括：一般公共预算拨款2406.23万元。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428.69万元，主要用于单位人员社保缴费支出;卫生健康支出1792.64万元，主要用于保障单位正常运行的人员经费、公用经费支出及单位人员医疗保险缴费支出;住房保障支出184.90万元，主要用于单位人员住房公积金缴费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五、关于托克逊县人民医院单位2024年一般公共预算当年拨款情况说明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托克逊县人民医院单位2024年一般公共预算拨款合计2406.23万元，其中：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基本支出2293.64万元，比上年预算减少453.52万元，下降16.51%。主要原因是：2024年在职人员减少，其中退休9人，离职2人，调出3人，死亡2人，人员类费用减少，导致预算比上年减少。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项目支出112.59万元，比上年预算增加112.59万元，增长100.00%。主要原因是：2024年开展了公立医院改革资金，重大传染病补助资金，2024年全民健康体检经费，导致今年比上年增长100</w:t>
      </w:r>
      <w:r>
        <w:rPr>
          <w:rFonts w:hint="eastAsia" w:ascii="仿宋_GB2312" w:hAnsi="黑体" w:eastAsia="仿宋_GB2312"/>
          <w:color w:val="auto"/>
          <w:sz w:val="32"/>
          <w:szCs w:val="32"/>
          <w:lang w:val="en-US" w:eastAsia="zh-CN"/>
        </w:rPr>
        <w:t>.00</w:t>
      </w:r>
      <w:r>
        <w:rPr>
          <w:rFonts w:hint="eastAsia" w:ascii="仿宋_GB2312" w:eastAsia="仿宋_GB2312"/>
          <w:color w:val="auto"/>
          <w:sz w:val="32"/>
          <w:szCs w:val="32"/>
        </w:rPr>
        <w:t>%。</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1.社会保障和就业支出（类）428.69万元，占17.82%。</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2.卫生健康支出（类）1792.64万元，占74.50%。</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3.住房保障支出（类）184.90万元，占7.68%。</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77.89万元，比上年预算增加5.24万元，增长7.21%，主要原因是：2024年在职人员减少转为退休，因此退休费增加，导致今年离退休比上年增长7.21%。</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233.87万元，比上年预算减少24.69万元，下降9.55%，主要原因是：2024年在职人员减少，其中退休9人，离职2人，调出3人，因此基本养老保险支出比上年减少24.69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3.社会保障和就业支出（类）行政事业单位养老支出（款）机关事业单位职业年金缴费支出（项）：2024年预算数为116.93万元，比上年预算减少12.34万元，下降9.55%，主要原因是：退休</w:t>
      </w:r>
      <w:r>
        <w:rPr>
          <w:rFonts w:hint="eastAsia" w:ascii="仿宋_GB2312" w:hAnsi="宋体" w:eastAsia="仿宋_GB2312" w:cs="宋体"/>
          <w:color w:val="auto"/>
          <w:kern w:val="0"/>
          <w:sz w:val="32"/>
          <w:szCs w:val="32"/>
          <w:lang w:val="en-US" w:eastAsia="zh-CN"/>
        </w:rPr>
        <w:t>人员</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较上年减少</w:t>
      </w:r>
      <w:r>
        <w:rPr>
          <w:rFonts w:hint="eastAsia" w:ascii="仿宋_GB2312" w:hAnsi="宋体" w:eastAsia="仿宋_GB2312" w:cs="宋体"/>
          <w:color w:val="auto"/>
          <w:kern w:val="0"/>
          <w:sz w:val="32"/>
          <w:szCs w:val="32"/>
        </w:rPr>
        <w:t>，因此职业年金缴费支出比上年减少12.34万元。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公立医院（款）综合医院（项）：2024年预算数为1580.95万元，比上年预算减少393.09万元，下降19.91%，主要原因是：2024年人员减少，其中退休9人，离职2人，调出3人，死亡2人，人员经费支出减少，导致卫生健康支出综合医院预算比上年下降19.91%。</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5.卫生健康支出（类）公立医院（款）其他公立医院支出（项）：2024年预算数为67.50万元，比上年预算增加67.50万元，增长100.00%，主要原因是：2024年开展了公立医院改革资金导致比上年增长100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6.卫生健康支出（类）公共卫生（款）重大公共卫生服务（项）：2024年预算数为20.09万元，比上年预算增加20.09万元，增长100.00%，主要原因是：2024年增加重大传染病补助资金，导致比上年增长100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7.卫生健康支出（类）公共卫生（款）其他公共卫生支出（项）：2024年预算数为25.00万元，比上年预算增加25.00万元，增长100.00%，主要原因是：2024年增加全民健康体检经费，导致比上年增长100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卫生健康支出（类）行政事业单位医疗（款）事业单位医疗（项）：2024年预算数为99.10万元，比上年预算减少10.64万元，下降9.70%，主要原因是：2024年在职人员减少，其中退休9人，离职2人，调出3人，因此事业单位医疗支出比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住房保障支出（类）住房改革支出（款）住房公积金（项）：2024年预算数为184.90万元，比上年预算减少18.00万元，下降8.87%，主要原因是：2024年在职人员减少，其中退休9人，离职2人，调出3人，因此住房公积金支出比上年减少。</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六、关于托克逊县人民医院单位2024年一般公共预算基本支出情况说明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托克逊县人民医院单位2024年一般公共预算基本支出2293.64万元，其中：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2291.33万元，主要包括：基本工资、津贴补贴、机关事业单位基本养老保险缴费、职业年金缴费、职工基本医疗保险缴费、其他社会保障缴费、住房公积金、其他工资福利支出、退休费、其他对个人和家庭的补助。</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公用经费2.31万元，主要包括：工会经费。</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七、关于托克逊县人民医院单位2024年一般公共预算项目支出情况说明</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（一）项目名称：吐市财社[2023]76号2024年中央医疗服务与保障能力提升（公立医院综合改革）补助资金</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设立的政策依据：自治区人民政府《关于推进县级公立医院综合改革的实施意见》（新政发【2014】75号）</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预算安排规模：67.50万元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项目承担单位：托克逊县人民医院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资金分配情况：支付药品费67.5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（二）项目名称：</w:t>
      </w:r>
      <w:r>
        <w:rPr>
          <w:rFonts w:hint="eastAsia" w:ascii="仿宋_GB2312" w:hAnsi="黑体" w:eastAsia="仿宋_GB2312"/>
          <w:color w:val="auto"/>
          <w:sz w:val="32"/>
          <w:szCs w:val="32"/>
        </w:rPr>
        <w:t>*001</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w:t>
      </w:r>
      <w:r>
        <w:rPr>
          <w:rFonts w:hint="eastAsia" w:ascii="仿宋_GB2312" w:hAnsi="黑体" w:eastAsia="仿宋_GB2312"/>
          <w:color w:val="auto"/>
          <w:sz w:val="32"/>
          <w:szCs w:val="32"/>
        </w:rPr>
        <w:t>根据相关政策文件要求，本项目内容完全不予公开</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预算安排规模：15.09万元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项目承担单位：托克逊县人民医院</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w:t>
      </w:r>
      <w:r>
        <w:rPr>
          <w:rFonts w:hint="eastAsia" w:ascii="仿宋_GB2312" w:hAnsi="黑体" w:eastAsia="仿宋_GB2312"/>
          <w:color w:val="auto"/>
          <w:sz w:val="32"/>
          <w:szCs w:val="32"/>
        </w:rPr>
        <w:t>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w:t>
      </w:r>
      <w:r>
        <w:rPr>
          <w:rFonts w:hint="eastAsia" w:ascii="仿宋_GB2312" w:hAnsi="黑体" w:eastAsia="仿宋_GB2312"/>
          <w:color w:val="auto"/>
          <w:sz w:val="32"/>
          <w:szCs w:val="32"/>
        </w:rPr>
        <w:t>完全不予公开</w:t>
      </w:r>
    </w:p>
    <w:p>
      <w:pPr>
        <w:widowControl w:val="0"/>
        <w:spacing w:line="560" w:lineRule="exact"/>
        <w:ind w:firstLine="640" w:firstLineChars="200"/>
        <w:jc w:val="both"/>
        <w:rPr>
          <w:rFonts w:hint="default" w:ascii="仿宋_GB2312" w:hAnsi="黑体" w:eastAsia="仿宋_GB2312"/>
          <w:color w:val="auto"/>
          <w:sz w:val="32"/>
          <w:szCs w:val="32"/>
          <w:lang w:val="en-US" w:eastAsia="zh-CN"/>
        </w:rPr>
      </w:pPr>
      <w:r>
        <w:rPr>
          <w:rFonts w:ascii="仿宋_GB2312" w:hAnsi="黑体" w:eastAsia="仿宋_GB2312"/>
          <w:color w:val="auto"/>
          <w:sz w:val="32"/>
          <w:szCs w:val="32"/>
        </w:rPr>
        <w:t>（三）项目名称：</w:t>
      </w:r>
      <w:r>
        <w:rPr>
          <w:rFonts w:hint="eastAsia" w:ascii="仿宋_GB2312" w:hAnsi="黑体" w:eastAsia="仿宋_GB2312"/>
          <w:color w:val="auto"/>
          <w:sz w:val="32"/>
          <w:szCs w:val="32"/>
          <w:lang w:val="en-US" w:eastAsia="zh-CN"/>
        </w:rPr>
        <w:t>*002</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w:t>
      </w:r>
      <w:r>
        <w:rPr>
          <w:rFonts w:hint="eastAsia" w:ascii="仿宋_GB2312" w:hAnsi="黑体" w:eastAsia="仿宋_GB2312"/>
          <w:color w:val="auto"/>
          <w:sz w:val="32"/>
          <w:szCs w:val="32"/>
        </w:rPr>
        <w:t>根据相关政策文件要求，本项目内容完全不予公开</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预算安排规模：5.00万元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项目承担单位：托克逊县人民医院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w:t>
      </w:r>
      <w:r>
        <w:rPr>
          <w:rFonts w:hint="eastAsia" w:ascii="仿宋_GB2312" w:hAnsi="黑体" w:eastAsia="仿宋_GB2312"/>
          <w:color w:val="auto"/>
          <w:sz w:val="32"/>
          <w:szCs w:val="32"/>
        </w:rPr>
        <w:t>完全不予公开</w:t>
      </w:r>
    </w:p>
    <w:p>
      <w:pPr>
        <w:widowControl w:val="0"/>
        <w:spacing w:line="560" w:lineRule="exact"/>
        <w:ind w:firstLine="640" w:firstLineChars="200"/>
        <w:jc w:val="both"/>
        <w:rPr>
          <w:rFonts w:hint="eastAsia" w:ascii="仿宋_GB2312" w:hAnsi="黑体" w:eastAsia="仿宋_GB2312"/>
          <w:color w:val="auto"/>
          <w:sz w:val="32"/>
          <w:szCs w:val="32"/>
        </w:rPr>
      </w:pPr>
      <w:r>
        <w:rPr>
          <w:rFonts w:ascii="仿宋_GB2312" w:hAnsi="黑体" w:eastAsia="仿宋_GB2312"/>
          <w:color w:val="auto"/>
          <w:sz w:val="32"/>
          <w:szCs w:val="32"/>
        </w:rPr>
        <w:t>资金执行时间：</w:t>
      </w:r>
      <w:r>
        <w:rPr>
          <w:rFonts w:hint="eastAsia" w:ascii="仿宋_GB2312" w:hAnsi="黑体" w:eastAsia="仿宋_GB2312"/>
          <w:color w:val="auto"/>
          <w:sz w:val="32"/>
          <w:szCs w:val="32"/>
        </w:rPr>
        <w:t>完全不予公开</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（四）项目名称：2024年全民健康体检县级补助资金</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设立的政策依据：按照《关于有序开展2020年度全民健康体检工作的通知》（新体检办发【2020】1号）执行</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预算安排规模：25.00万元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项目承担单位：托克逊县人民医院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资金分配情况：专用材料费25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widowControl w:val="0"/>
        <w:spacing w:line="560" w:lineRule="exact"/>
        <w:ind w:firstLine="640" w:firstLineChars="200"/>
        <w:jc w:val="both"/>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八、关于托克逊县人民医院单位2024年政府性基金预算拨款情况说明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托克逊县人民医院2024年没有使用政府性基金预算拨款安排的支出，政府性基金预算支出情况表为空表。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九、关于托克逊县人民医院单位2024年国有资本经营预算拨款情况说明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托克逊县人民医院2024年没有使用国有资本经营预算拨款安排的支出，国有资本经营预算支出情况表为空表。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十、关于托克逊县人民医院单位2024年财政拨款“三公”经费预算情况说明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托克逊县人民医院单位2024年财政拨款“三公”经费数为0.00万元，其中：因公出国（境）费0.00万元，公务用车购置费0.00万元，公务用车运行费0.00万元，公务接待费0.00万元。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十一、关于托克逊县人民医院单位2024年上年结转结余预算情况说明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托克逊县人民医院单位2024年无上年结转结余预算的支出，结转结余预算支出情况表为空表。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托克逊县人民医院单位2024年的事业单位运行经费财政拨款预算2.31万元，比上年预算增加2.31万元，增长100.00%。主要原因是上年度事业单位运行经费未纳入财政拨款预算，今年新增预算，比上年增长100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2024年，托克逊县人民医院单位政府采购预算469</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万元，其中：政府采购货物预算439</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万元，政府采购服务预算30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仿宋_GB2312" w:eastAsia="仿宋_GB2312"/>
          <w:color w:val="auto"/>
          <w:sz w:val="32"/>
        </w:rPr>
        <w:t>2024年，托克逊县人民医院单位面向中小企业预留政府采购项目预算金额169</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万元，小微企业预留政府采购项目预算金额169</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截至2023年底，托克逊县人民医院单位及下属各预算单位占用使用国有资产总体情况为：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1.房屋43795.87平方米，价值13753.66万元。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2.车辆13辆，价值601.82万元；其中：一般公务用车0辆，价值0万元；执法执勤用车0辆，价值0万元；其他车辆13辆，价值601.82万元。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3.办公家具价值147万元。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4.其他资产价值21594.42万元。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单位价值50万元以上大型设备0台，单位价值100万元以上大型设备36台。</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13406.22</w:t>
      </w:r>
      <w:r>
        <w:rPr>
          <w:rFonts w:hint="eastAsia" w:ascii="仿宋_GB2312" w:hAnsi="宋体" w:eastAsia="仿宋_GB2312" w:cs="宋体"/>
          <w:color w:val="auto"/>
          <w:kern w:val="0"/>
          <w:sz w:val="32"/>
          <w:szCs w:val="32"/>
        </w:rPr>
        <w:t>万元；当年财政拨款项目</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个，涉及预算金额</w:t>
      </w:r>
      <w:r>
        <w:rPr>
          <w:rFonts w:ascii="仿宋_GB2312" w:hAnsi="宋体" w:eastAsia="仿宋_GB2312" w:cs="宋体"/>
          <w:color w:val="auto"/>
          <w:kern w:val="0"/>
          <w:sz w:val="32"/>
          <w:szCs w:val="32"/>
        </w:rPr>
        <w:t>112.59</w:t>
      </w:r>
      <w:r>
        <w:rPr>
          <w:rFonts w:hint="eastAsia" w:ascii="仿宋_GB2312" w:hAnsi="宋体" w:eastAsia="仿宋_GB2312" w:cs="宋体"/>
          <w:color w:val="auto"/>
          <w:kern w:val="0"/>
          <w:sz w:val="32"/>
          <w:szCs w:val="32"/>
        </w:rPr>
        <w:t>万元；当年非财政拨款项目1个，涉及预算金额</w:t>
      </w:r>
      <w:r>
        <w:rPr>
          <w:rFonts w:ascii="仿宋_GB2312" w:hAnsi="宋体" w:eastAsia="仿宋_GB2312" w:cs="宋体"/>
          <w:color w:val="auto"/>
          <w:kern w:val="0"/>
          <w:sz w:val="32"/>
          <w:szCs w:val="32"/>
        </w:rPr>
        <w:t>11000.00</w:t>
      </w:r>
      <w:r>
        <w:rPr>
          <w:rFonts w:hint="eastAsia" w:ascii="仿宋_GB2312" w:hAnsi="宋体" w:eastAsia="仿宋_GB2312" w:cs="宋体"/>
          <w:color w:val="auto"/>
          <w:kern w:val="0"/>
          <w:sz w:val="32"/>
          <w:szCs w:val="32"/>
        </w:rPr>
        <w:t>万元。具体情况见下表：</w:t>
      </w:r>
    </w:p>
    <w:p>
      <w:pPr>
        <w:widowControl/>
        <w:spacing w:line="600" w:lineRule="exact"/>
        <w:rPr>
          <w:rFonts w:hint="eastAsia"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82" w:type="dxa"/>
        <w:jc w:val="center"/>
        <w:tblLayout w:type="autofit"/>
        <w:tblCellMar>
          <w:top w:w="0" w:type="dxa"/>
          <w:left w:w="108" w:type="dxa"/>
          <w:bottom w:w="0" w:type="dxa"/>
          <w:right w:w="108" w:type="dxa"/>
        </w:tblCellMar>
      </w:tblPr>
      <w:tblGrid>
        <w:gridCol w:w="1146"/>
        <w:gridCol w:w="1456"/>
        <w:gridCol w:w="2675"/>
        <w:gridCol w:w="1401"/>
        <w:gridCol w:w="2165"/>
        <w:gridCol w:w="1239"/>
      </w:tblGrid>
      <w:tr>
        <w:tblPrEx>
          <w:tblCellMar>
            <w:top w:w="0" w:type="dxa"/>
            <w:left w:w="108" w:type="dxa"/>
            <w:bottom w:w="0" w:type="dxa"/>
            <w:right w:w="108" w:type="dxa"/>
          </w:tblCellMar>
        </w:tblPrEx>
        <w:trPr>
          <w:trHeight w:val="881" w:hRule="atLeast"/>
          <w:jc w:val="center"/>
        </w:trPr>
        <w:tc>
          <w:tcPr>
            <w:tcW w:w="10082" w:type="dxa"/>
            <w:gridSpan w:val="6"/>
            <w:tcBorders>
              <w:top w:val="nil"/>
              <w:left w:val="nil"/>
              <w:bottom w:val="nil"/>
              <w:right w:val="nil"/>
            </w:tcBorders>
            <w:shd w:val="clear" w:color="auto" w:fill="auto"/>
            <w:vAlign w:val="center"/>
          </w:tcPr>
          <w:p>
            <w:pPr>
              <w:widowControl/>
              <w:jc w:val="center"/>
              <w:rPr>
                <w:rFonts w:hint="eastAsia"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92" w:hRule="atLeast"/>
          <w:jc w:val="center"/>
        </w:trPr>
        <w:tc>
          <w:tcPr>
            <w:tcW w:w="10082" w:type="dxa"/>
            <w:gridSpan w:val="6"/>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656" w:hRule="atLeast"/>
          <w:jc w:val="center"/>
        </w:trPr>
        <w:tc>
          <w:tcPr>
            <w:tcW w:w="2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48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托克逊县人民医院</w:t>
            </w:r>
          </w:p>
        </w:tc>
      </w:tr>
      <w:tr>
        <w:tblPrEx>
          <w:tblCellMar>
            <w:top w:w="0" w:type="dxa"/>
            <w:left w:w="108" w:type="dxa"/>
            <w:bottom w:w="0" w:type="dxa"/>
            <w:right w:w="108" w:type="dxa"/>
          </w:tblCellMar>
        </w:tblPrEx>
        <w:trPr>
          <w:trHeight w:val="656" w:hRule="atLeast"/>
          <w:jc w:val="center"/>
        </w:trPr>
        <w:tc>
          <w:tcPr>
            <w:tcW w:w="260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407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席阳</w:t>
            </w:r>
          </w:p>
        </w:tc>
        <w:tc>
          <w:tcPr>
            <w:tcW w:w="2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联系电话：</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8828688</w:t>
            </w:r>
          </w:p>
        </w:tc>
      </w:tr>
      <w:tr>
        <w:tblPrEx>
          <w:tblCellMar>
            <w:top w:w="0" w:type="dxa"/>
            <w:left w:w="108" w:type="dxa"/>
            <w:bottom w:w="0" w:type="dxa"/>
            <w:right w:w="108" w:type="dxa"/>
          </w:tblCellMar>
        </w:tblPrEx>
        <w:trPr>
          <w:trHeight w:val="2092" w:hRule="atLeast"/>
          <w:jc w:val="center"/>
        </w:trPr>
        <w:tc>
          <w:tcPr>
            <w:tcW w:w="2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480"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1.加强对专业人才的培养,认真做好医疗质量考核工作，严格按照医疗操作规程标准开展医疗活动，确保医疗安全。</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2.搭建学科建设平台,努力打造优势学科群，提升医院综合实力，提高疾病诊疗救治技术水平，为患者提供更加科学有效的优质诊疗服务。</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3.加强医保、公卫工作业务培训,护理科研培训,医院感染监测指标的质量控制工作,重视继续教育,严格对照《二级综合医院评审标准》等相关文件规定，开展各项工作.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4.全力推进医共体建设,为患者提供更加便捷高效的护理服务，2024年继续按照高质量发展建设目标，踔厉奋发，砥砺前行，在新时期医院改革发展中展现新作为新担当新气象，更好地为人民健康保驾护航。</w:t>
            </w:r>
          </w:p>
        </w:tc>
      </w:tr>
      <w:tr>
        <w:tblPrEx>
          <w:tblCellMar>
            <w:top w:w="0" w:type="dxa"/>
            <w:left w:w="108" w:type="dxa"/>
            <w:bottom w:w="0" w:type="dxa"/>
            <w:right w:w="108" w:type="dxa"/>
          </w:tblCellMar>
        </w:tblPrEx>
        <w:trPr>
          <w:trHeight w:val="615" w:hRule="atLeast"/>
          <w:jc w:val="center"/>
        </w:trPr>
        <w:tc>
          <w:tcPr>
            <w:tcW w:w="26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4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资金来源</w:t>
            </w:r>
          </w:p>
        </w:tc>
        <w:tc>
          <w:tcPr>
            <w:tcW w:w="34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51" w:hRule="atLeast"/>
          <w:jc w:val="center"/>
        </w:trPr>
        <w:tc>
          <w:tcPr>
            <w:tcW w:w="26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67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财政资金（万元）</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上级安排</w:t>
            </w:r>
          </w:p>
        </w:tc>
        <w:tc>
          <w:tcPr>
            <w:tcW w:w="34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87.59</w:t>
            </w:r>
          </w:p>
        </w:tc>
      </w:tr>
      <w:tr>
        <w:tblPrEx>
          <w:tblCellMar>
            <w:top w:w="0" w:type="dxa"/>
            <w:left w:w="108" w:type="dxa"/>
            <w:bottom w:w="0" w:type="dxa"/>
            <w:right w:w="108" w:type="dxa"/>
          </w:tblCellMar>
        </w:tblPrEx>
        <w:trPr>
          <w:trHeight w:val="492" w:hRule="atLeast"/>
          <w:jc w:val="center"/>
        </w:trPr>
        <w:tc>
          <w:tcPr>
            <w:tcW w:w="26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675"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本级安排</w:t>
            </w:r>
          </w:p>
        </w:tc>
        <w:tc>
          <w:tcPr>
            <w:tcW w:w="34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2318.63</w:t>
            </w:r>
          </w:p>
        </w:tc>
      </w:tr>
      <w:tr>
        <w:tblPrEx>
          <w:tblCellMar>
            <w:top w:w="0" w:type="dxa"/>
            <w:left w:w="108" w:type="dxa"/>
            <w:bottom w:w="0" w:type="dxa"/>
            <w:right w:w="108" w:type="dxa"/>
          </w:tblCellMar>
        </w:tblPrEx>
        <w:trPr>
          <w:trHeight w:val="492" w:hRule="atLeast"/>
          <w:jc w:val="center"/>
        </w:trPr>
        <w:tc>
          <w:tcPr>
            <w:tcW w:w="26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其他资金（万元）</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340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11000.00</w:t>
            </w:r>
          </w:p>
        </w:tc>
      </w:tr>
      <w:tr>
        <w:tblPrEx>
          <w:tblCellMar>
            <w:top w:w="0" w:type="dxa"/>
            <w:left w:w="108" w:type="dxa"/>
            <w:bottom w:w="0" w:type="dxa"/>
            <w:right w:w="108" w:type="dxa"/>
          </w:tblCellMar>
        </w:tblPrEx>
        <w:trPr>
          <w:trHeight w:val="553" w:hRule="atLeast"/>
          <w:jc w:val="center"/>
        </w:trPr>
        <w:tc>
          <w:tcPr>
            <w:tcW w:w="11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92" w:hRule="atLeast"/>
          <w:jc w:val="center"/>
        </w:trPr>
        <w:tc>
          <w:tcPr>
            <w:tcW w:w="114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履职效能</w:t>
            </w:r>
          </w:p>
        </w:tc>
        <w:tc>
          <w:tcPr>
            <w:tcW w:w="1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全民健康体检人数</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≥6902人</w:t>
            </w:r>
          </w:p>
        </w:tc>
        <w:tc>
          <w:tcPr>
            <w:tcW w:w="2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2023年工作总结及2024年工作计划</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92" w:hRule="atLeast"/>
          <w:jc w:val="center"/>
        </w:trPr>
        <w:tc>
          <w:tcPr>
            <w:tcW w:w="1146"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开展医疗、护理及院感培训次数</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=1次/周</w:t>
            </w:r>
          </w:p>
        </w:tc>
        <w:tc>
          <w:tcPr>
            <w:tcW w:w="2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2023年工作总结及2024年工作计划</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92" w:hRule="atLeast"/>
          <w:jc w:val="center"/>
        </w:trPr>
        <w:tc>
          <w:tcPr>
            <w:tcW w:w="1146"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开展义诊活动</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≧10次</w:t>
            </w:r>
          </w:p>
        </w:tc>
        <w:tc>
          <w:tcPr>
            <w:tcW w:w="2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2023年工作总结及2024年工作计划</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92" w:hRule="atLeast"/>
          <w:jc w:val="center"/>
        </w:trPr>
        <w:tc>
          <w:tcPr>
            <w:tcW w:w="1146"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零加成药品种类</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≥813种</w:t>
            </w:r>
          </w:p>
        </w:tc>
        <w:tc>
          <w:tcPr>
            <w:tcW w:w="2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2023年工作总结及2024年工作计划</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92" w:hRule="atLeast"/>
          <w:jc w:val="center"/>
        </w:trPr>
        <w:tc>
          <w:tcPr>
            <w:tcW w:w="1146"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医疗服务收入（不含药品、耗材、检查、化验收入）占医疗收入比重</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≥33.16%</w:t>
            </w:r>
          </w:p>
        </w:tc>
        <w:tc>
          <w:tcPr>
            <w:tcW w:w="2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2023年工作总结及2024年工作计划</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697" w:hRule="atLeast"/>
          <w:jc w:val="center"/>
        </w:trPr>
        <w:tc>
          <w:tcPr>
            <w:tcW w:w="1146"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公立医院综合改革实现药品零差价</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2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自治区人民政府《关于推进县级公立医院综合改革的实施意见》</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bl>
    <w:p>
      <w:pPr>
        <w:jc w:val="center"/>
        <w:rPr>
          <w:rFonts w:hint="eastAsia" w:ascii="宋体" w:hAnsi="宋体"/>
          <w:color w:val="auto"/>
          <w:sz w:val="18"/>
          <w:szCs w:val="18"/>
        </w:rPr>
      </w:pPr>
    </w:p>
    <w:p>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托克逊县人民医院</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2024年全民健康体检县级补助资金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唐英</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25.00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25.00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5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为深入贯彻落实自治区党委、人民政府医疗惠民政策，稳步提升全民健康体检工作，充分发挥全民健康体检在提高人民健康水平、推动经济社会发展等方面的综合价值与多元功能，通过对不少于2000名15-79岁的人员开展免费体检，更好的掌握居民身体状况，通过“早发现、早诊断、早治疗”、“未病先防、小病先治”，切实维护群众健康利益，保障群众健康水平。</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≥6902人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5355人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全民健康体检项目数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≥7项</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7项</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体检结果与居民档案录入准确率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≥98%</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97%</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全民健康体检工作完成时间</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2024年10月底</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全民健康体检专用材料费</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≤25万元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28.5万元</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740" w:hRule="atLeast"/>
          <w:jc w:val="center"/>
        </w:trPr>
        <w:tc>
          <w:tcPr>
            <w:tcW w:w="740"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发现潜在疾病,提高健康意识</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受益群体满意度</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94%</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hint="eastAsia" w:ascii="宋体" w:hAnsi="宋体"/>
          <w:color w:val="auto"/>
          <w:sz w:val="18"/>
          <w:szCs w:val="18"/>
        </w:rPr>
      </w:pPr>
    </w:p>
    <w:p>
      <w:pPr>
        <w:widowControl/>
        <w:rPr>
          <w:rFonts w:hint="eastAsia" w:ascii="楷体_GB2312" w:hAnsi="宋体" w:eastAsia="楷体_GB2312" w:cs="宋体"/>
          <w:b/>
          <w:color w:val="auto"/>
          <w:kern w:val="0"/>
          <w:sz w:val="32"/>
          <w:szCs w:val="32"/>
        </w:rPr>
      </w:pPr>
      <w:r>
        <w:rPr>
          <w:rFonts w:ascii="宋体" w:hAnsi="宋体"/>
          <w:color w:val="auto"/>
          <w:sz w:val="18"/>
          <w:szCs w:val="18"/>
        </w:rPr>
        <w:br w:type="page"/>
      </w:r>
    </w:p>
    <w:tbl>
      <w:tblPr>
        <w:tblStyle w:val="4"/>
        <w:tblW w:w="10820" w:type="dxa"/>
        <w:jc w:val="center"/>
        <w:tblLayout w:type="autofit"/>
        <w:tblCellMar>
          <w:top w:w="0" w:type="dxa"/>
          <w:left w:w="108" w:type="dxa"/>
          <w:bottom w:w="0" w:type="dxa"/>
          <w:right w:w="108" w:type="dxa"/>
        </w:tblCellMar>
      </w:tblPr>
      <w:tblGrid>
        <w:gridCol w:w="1000"/>
        <w:gridCol w:w="966"/>
        <w:gridCol w:w="2074"/>
        <w:gridCol w:w="1440"/>
        <w:gridCol w:w="960"/>
        <w:gridCol w:w="840"/>
        <w:gridCol w:w="840"/>
        <w:gridCol w:w="1200"/>
        <w:gridCol w:w="1500"/>
      </w:tblGrid>
      <w:tr>
        <w:tblPrEx>
          <w:tblCellMar>
            <w:top w:w="0" w:type="dxa"/>
            <w:left w:w="108" w:type="dxa"/>
            <w:bottom w:w="0" w:type="dxa"/>
            <w:right w:w="108" w:type="dxa"/>
          </w:tblCellMar>
        </w:tblPrEx>
        <w:trPr>
          <w:trHeight w:val="420" w:hRule="atLeast"/>
          <w:jc w:val="center"/>
        </w:trPr>
        <w:tc>
          <w:tcPr>
            <w:tcW w:w="1082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0" w:hRule="atLeast"/>
          <w:jc w:val="center"/>
        </w:trPr>
        <w:tc>
          <w:tcPr>
            <w:tcW w:w="1082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79" w:hRule="atLeast"/>
          <w:jc w:val="center"/>
        </w:trPr>
        <w:tc>
          <w:tcPr>
            <w:tcW w:w="19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85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托克逊县人民医院</w:t>
            </w:r>
          </w:p>
        </w:tc>
      </w:tr>
      <w:tr>
        <w:tblPrEx>
          <w:tblCellMar>
            <w:top w:w="0" w:type="dxa"/>
            <w:left w:w="108" w:type="dxa"/>
            <w:bottom w:w="0" w:type="dxa"/>
            <w:right w:w="108" w:type="dxa"/>
          </w:tblCellMar>
        </w:tblPrEx>
        <w:trPr>
          <w:trHeight w:val="542" w:hRule="atLeast"/>
          <w:jc w:val="center"/>
        </w:trPr>
        <w:tc>
          <w:tcPr>
            <w:tcW w:w="19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31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综合业务经费（单位实有资金）</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席阳</w:t>
            </w:r>
          </w:p>
        </w:tc>
      </w:tr>
      <w:tr>
        <w:tblPrEx>
          <w:tblCellMar>
            <w:top w:w="0" w:type="dxa"/>
            <w:left w:w="108" w:type="dxa"/>
            <w:bottom w:w="0" w:type="dxa"/>
            <w:right w:w="108" w:type="dxa"/>
          </w:tblCellMar>
        </w:tblPrEx>
        <w:trPr>
          <w:trHeight w:val="300" w:hRule="atLeast"/>
          <w:jc w:val="center"/>
        </w:trPr>
        <w:tc>
          <w:tcPr>
            <w:tcW w:w="19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11000.00</w:t>
            </w:r>
          </w:p>
        </w:tc>
        <w:tc>
          <w:tcPr>
            <w:tcW w:w="9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bookmarkStart w:id="0" w:name="_Hlk168865341"/>
            <w:r>
              <w:rPr>
                <w:rFonts w:hint="eastAsia" w:ascii="宋体" w:hAnsi="宋体" w:cs="宋体"/>
                <w:color w:val="auto"/>
                <w:kern w:val="0"/>
                <w:sz w:val="18"/>
                <w:szCs w:val="18"/>
              </w:rPr>
              <w:t>11000.00</w:t>
            </w:r>
            <w:bookmarkEnd w:id="0"/>
          </w:p>
        </w:tc>
      </w:tr>
      <w:tr>
        <w:tblPrEx>
          <w:tblCellMar>
            <w:top w:w="0" w:type="dxa"/>
            <w:left w:w="108" w:type="dxa"/>
            <w:bottom w:w="0" w:type="dxa"/>
            <w:right w:w="108" w:type="dxa"/>
          </w:tblCellMar>
        </w:tblPrEx>
        <w:trPr>
          <w:trHeight w:val="1000" w:hRule="atLeast"/>
          <w:jc w:val="center"/>
        </w:trPr>
        <w:tc>
          <w:tcPr>
            <w:tcW w:w="19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85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1.通过单位自有资金，为本院481名职工发放工资福利，并且按时向巾帼公司和老班长公司发放40名保安保洁的劳务费，保证人员经费按时发放，提高员工工作积极性。按时缴纳取暖费、电费、水费、邮电费等各项综合业务支出，保证单位工作有序开展。</w:t>
            </w:r>
          </w:p>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2.及时向不少于49家供应商支付药品费、耗材试剂及后勤材料费，预计购买医疗设备10台，保障药品充足，配备设备齐全，试剂耗材够用，确保单位诊疗服务能够正常运转，不耽误患者就医看病，保障诊断结果准确性。</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3.按时向1家融资租赁公司支付租赁费，保障医疗设备正常使用，为患者提供更准确的诊断报告。</w:t>
            </w:r>
          </w:p>
        </w:tc>
      </w:tr>
      <w:tr>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9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0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9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保障办公人员数量</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&gt;=481人</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房屋建筑物供暖面积</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&lt;=26524.28平方米</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订购杂志报刊及电话数量</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&gt;=400个</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购买专用设备</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&gt;=10台</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外出培训人员</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&gt;=87人</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融资租赁公司</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=1家</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保安保洁人数</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&lt;=40人</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门急诊就诊人次</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&gt;=47814次</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医疗服务覆盖率</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专用设备验收合格率</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年度工作计划完成及时率</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9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工资福利支出</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&lt;=3944万元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&lt;=3100万元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综合业务支出经费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&lt;=2692万元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租赁费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&lt;=600万元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专用设备购置费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&lt;=384万元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劳务费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&lt;=230万元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取暖费</w:t>
            </w:r>
          </w:p>
        </w:tc>
        <w:tc>
          <w:tcPr>
            <w:tcW w:w="1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&lt;=50万元</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9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经济效益指标</w:t>
            </w: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专用设备利用率</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提高患者诊断准确率</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明显提高</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医院诊疗服务水平</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明显提高</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60" w:lineRule="exact"/>
        <w:ind w:firstLine="630" w:firstLineChars="196"/>
        <w:jc w:val="left"/>
        <w:rPr>
          <w:rFonts w:hint="eastAsia"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hint="eastAsia"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本次未公开项目支出绩效目标表共有</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个，其中：</w:t>
      </w:r>
      <w:r>
        <w:rPr>
          <w:rFonts w:hint="eastAsia" w:ascii="仿宋_GB2312" w:hAnsi="宋体" w:eastAsia="仿宋_GB2312" w:cs="宋体"/>
          <w:color w:val="auto"/>
          <w:kern w:val="0"/>
          <w:sz w:val="32"/>
          <w:szCs w:val="32"/>
          <w:lang w:val="en-US" w:eastAsia="zh-CN"/>
        </w:rPr>
        <w:t>转移支付</w:t>
      </w:r>
      <w:r>
        <w:rPr>
          <w:rFonts w:hint="eastAsia" w:ascii="仿宋_GB2312" w:hAnsi="宋体" w:eastAsia="仿宋_GB2312" w:cs="宋体"/>
          <w:color w:val="auto"/>
          <w:kern w:val="0"/>
          <w:sz w:val="32"/>
          <w:szCs w:val="32"/>
        </w:rPr>
        <w:t>sm项目</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个，涉及预算资金</w:t>
      </w:r>
      <w:r>
        <w:rPr>
          <w:rFonts w:ascii="仿宋_GB2312" w:hAnsi="宋体" w:eastAsia="仿宋_GB2312" w:cs="宋体"/>
          <w:color w:val="auto"/>
          <w:kern w:val="0"/>
          <w:sz w:val="32"/>
          <w:szCs w:val="32"/>
        </w:rPr>
        <w:t>20.09</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转移支付项目1个，涉及预算资金67.50</w:t>
      </w:r>
      <w:r>
        <w:rPr>
          <w:rFonts w:hint="eastAsia" w:ascii="仿宋_GB2312" w:hAnsi="宋体" w:eastAsia="仿宋_GB2312" w:cs="宋体"/>
          <w:color w:val="auto"/>
          <w:kern w:val="0"/>
          <w:sz w:val="32"/>
          <w:szCs w:val="32"/>
        </w:rPr>
        <w:t>根据规定、绩效目标表完全不予公开。</w:t>
      </w: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righ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托克逊县人民医院</w:t>
      </w:r>
    </w:p>
    <w:p>
      <w:pPr>
        <w:widowControl/>
        <w:spacing w:line="520" w:lineRule="exact"/>
        <w:jc w:val="right"/>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0B4066"/>
    <w:rsid w:val="0014750F"/>
    <w:rsid w:val="003E5F71"/>
    <w:rsid w:val="00401ED6"/>
    <w:rsid w:val="0048025E"/>
    <w:rsid w:val="004D7FC0"/>
    <w:rsid w:val="005A238A"/>
    <w:rsid w:val="00776DAA"/>
    <w:rsid w:val="00780EF5"/>
    <w:rsid w:val="007C7859"/>
    <w:rsid w:val="009A3968"/>
    <w:rsid w:val="009D30D7"/>
    <w:rsid w:val="00A6212E"/>
    <w:rsid w:val="00A836C6"/>
    <w:rsid w:val="00B20479"/>
    <w:rsid w:val="00C8213A"/>
    <w:rsid w:val="00D94EAF"/>
    <w:rsid w:val="00DB372F"/>
    <w:rsid w:val="00EB2DB9"/>
    <w:rsid w:val="00F520CD"/>
    <w:rsid w:val="00F60ABA"/>
    <w:rsid w:val="03054295"/>
    <w:rsid w:val="052375A0"/>
    <w:rsid w:val="1FB51762"/>
    <w:rsid w:val="3DDC7F8B"/>
    <w:rsid w:val="539C5841"/>
    <w:rsid w:val="593B5123"/>
    <w:rsid w:val="5DA15FBB"/>
    <w:rsid w:val="789F2692"/>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1872</Words>
  <Characters>2350</Characters>
  <Lines>117</Lines>
  <Paragraphs>32</Paragraphs>
  <TotalTime>8</TotalTime>
  <ScaleCrop>false</ScaleCrop>
  <LinksUpToDate>false</LinksUpToDate>
  <CharactersWithSpaces>2410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2025-08-12T05:05:47Z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A537E148DD9A45938008F6EA44655D6E_13</vt:lpwstr>
  </property>
  <property fmtid="{D5CDD505-2E9C-101B-9397-08002B2CF9AE}" pid="4" name="KSOTemplateDocerSaveRecord">
    <vt:lpwstr>eyJoZGlkIjoiMTcwMGY5N2M4YzI3ODdkZTMzOGFhZTcwMTk4MTdlMjAiLCJ1c2VySWQiOiI0OTQ1NzM3OTEifQ==</vt:lpwstr>
  </property>
</Properties>
</file>